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w:t>
      </w:r>
      <w:r w:rsidR="006F2ABC">
        <w:rPr>
          <w:rFonts w:cs="Arial"/>
          <w:b/>
          <w:sz w:val="24"/>
          <w:szCs w:val="24"/>
        </w:rPr>
        <w:t xml:space="preserve"> </w:t>
      </w:r>
      <w:bookmarkStart w:id="0" w:name="_GoBack"/>
      <w:bookmarkEnd w:id="0"/>
      <w:r w:rsidRPr="002A1A49">
        <w:rPr>
          <w:rFonts w:cs="Arial"/>
          <w:b/>
          <w:sz w:val="24"/>
          <w:szCs w:val="24"/>
        </w:rPr>
        <w:t>ÓN DEL COMITÉ DE TRANSPARENCIA DEL MUNICIPIO DE PUERTO VA</w:t>
      </w:r>
      <w:r w:rsidR="00347410">
        <w:rPr>
          <w:rFonts w:cs="Arial"/>
          <w:b/>
          <w:sz w:val="24"/>
          <w:szCs w:val="24"/>
        </w:rPr>
        <w:t xml:space="preserve">LLARTA </w:t>
      </w:r>
      <w:r w:rsidR="006F2ABC">
        <w:rPr>
          <w:rFonts w:cs="Arial"/>
          <w:b/>
          <w:sz w:val="24"/>
          <w:szCs w:val="24"/>
        </w:rPr>
        <w:t>MARTES 06 DE SEPTIEMBRE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6F2ABC">
        <w:rPr>
          <w:rFonts w:cs="Arial"/>
          <w:sz w:val="24"/>
          <w:szCs w:val="24"/>
        </w:rPr>
        <w:t>06 de Septiembre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941"/>
        <w:gridCol w:w="2907"/>
      </w:tblGrid>
      <w:tr w:rsidR="002A1A49" w:rsidRPr="00D77A58" w:rsidTr="00AA6A38">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41"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AA6A38">
        <w:tc>
          <w:tcPr>
            <w:tcW w:w="1129" w:type="dxa"/>
          </w:tcPr>
          <w:p w:rsidR="00892335" w:rsidRDefault="006F2ABC" w:rsidP="00252568">
            <w:pPr>
              <w:rPr>
                <w:rFonts w:cs="Arial"/>
                <w:sz w:val="18"/>
                <w:szCs w:val="18"/>
              </w:rPr>
            </w:pPr>
            <w:r>
              <w:rPr>
                <w:rFonts w:cs="Arial"/>
                <w:sz w:val="18"/>
                <w:szCs w:val="18"/>
              </w:rPr>
              <w:t>725</w:t>
            </w:r>
            <w:r w:rsidR="00892335">
              <w:rPr>
                <w:rFonts w:cs="Arial"/>
                <w:sz w:val="18"/>
                <w:szCs w:val="18"/>
              </w:rPr>
              <w:t>/2016</w:t>
            </w:r>
          </w:p>
        </w:tc>
        <w:tc>
          <w:tcPr>
            <w:tcW w:w="3941" w:type="dxa"/>
          </w:tcPr>
          <w:p w:rsidR="00892335" w:rsidRPr="007057EC" w:rsidRDefault="006F2ABC" w:rsidP="006F2ABC">
            <w:pPr>
              <w:rPr>
                <w:rFonts w:cs="Arial"/>
                <w:sz w:val="18"/>
                <w:szCs w:val="18"/>
              </w:rPr>
            </w:pPr>
            <w:r>
              <w:rPr>
                <w:rFonts w:ascii="Book Antiqua" w:hAnsi="Book Antiqua"/>
                <w:i/>
                <w:sz w:val="20"/>
                <w:szCs w:val="20"/>
              </w:rPr>
              <w:t>copia simple del folio F616019001032 (multa municipal de transito</w:t>
            </w:r>
            <w:r>
              <w:rPr>
                <w:rFonts w:ascii="Book Antiqua" w:hAnsi="Book Antiqua"/>
                <w:i/>
                <w:sz w:val="20"/>
                <w:szCs w:val="20"/>
              </w:rPr>
              <w:t>)</w:t>
            </w:r>
          </w:p>
        </w:tc>
        <w:tc>
          <w:tcPr>
            <w:tcW w:w="2907" w:type="dxa"/>
          </w:tcPr>
          <w:p w:rsidR="00892335" w:rsidRPr="00D77A58" w:rsidRDefault="00892335"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lastRenderedPageBreak/>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6F2ABC">
        <w:rPr>
          <w:rFonts w:cs="Arial"/>
          <w:sz w:val="24"/>
          <w:szCs w:val="24"/>
        </w:rPr>
        <w:t>06 de Septiembre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52568"/>
    <w:rsid w:val="00274D21"/>
    <w:rsid w:val="002A1A49"/>
    <w:rsid w:val="002A5630"/>
    <w:rsid w:val="002A69A3"/>
    <w:rsid w:val="002C19D3"/>
    <w:rsid w:val="002C3BA2"/>
    <w:rsid w:val="003033DA"/>
    <w:rsid w:val="00347410"/>
    <w:rsid w:val="003522FE"/>
    <w:rsid w:val="00357E16"/>
    <w:rsid w:val="003873B9"/>
    <w:rsid w:val="00397808"/>
    <w:rsid w:val="003B6E92"/>
    <w:rsid w:val="003C368E"/>
    <w:rsid w:val="003D5ACA"/>
    <w:rsid w:val="003E312D"/>
    <w:rsid w:val="00403835"/>
    <w:rsid w:val="00412FAA"/>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6F2ABC"/>
    <w:rsid w:val="007057EC"/>
    <w:rsid w:val="00706B04"/>
    <w:rsid w:val="00737AEC"/>
    <w:rsid w:val="007527B9"/>
    <w:rsid w:val="007543E0"/>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2016-09-06T21:38:00Z</cp:lastPrinted>
  <dcterms:created xsi:type="dcterms:W3CDTF">2016-09-06T21:50:00Z</dcterms:created>
  <dcterms:modified xsi:type="dcterms:W3CDTF">2016-09-06T21:50:00Z</dcterms:modified>
</cp:coreProperties>
</file>